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Правила ЕКФ для сдачи экзамена на дан и сёго</w:t>
      </w:r>
      <w:r>
        <w:rPr>
          <w:rStyle w:val="4"/>
        </w:rPr>
        <w:footnoteReference w:id="0"/>
      </w:r>
    </w:p>
    <w:p>
      <w:r>
        <w:t>Дорогие друзья,</w:t>
      </w:r>
    </w:p>
    <w:p>
      <w:r>
        <w:t xml:space="preserve">Мы просим вас читать это каждый раз перед тем, как вы планируете и/или осуществляете </w:t>
      </w:r>
      <w:r>
        <w:rPr>
          <w:lang w:val="ru-RU"/>
        </w:rPr>
        <w:t xml:space="preserve">сдачу </w:t>
      </w:r>
      <w:r>
        <w:t>экзамена</w:t>
      </w:r>
      <w:bookmarkStart w:id="0" w:name="_GoBack"/>
      <w:bookmarkEnd w:id="0"/>
      <w:r>
        <w:t>, в качестве стандартной процедуры для организации и регистрации экзаменов приведен список от начала до конца. Как и ранее, мы предполагаем неизменный административный и регистрационный денежные взносы.</w:t>
      </w:r>
    </w:p>
    <w:p>
      <w:r>
        <w:t>1. Основные принципы:</w:t>
      </w:r>
    </w:p>
    <w:p>
      <w:r>
        <w:t>ЕКФ не организует экзамен на Кю, он полностью лежит в компетенции стран-членов. В целом, стандарт экзамена соответствует международной федерации кендо (МФК):  «Стандартные рекомендации для экзамена на дан/кю», одобренные генеральной ассамблеей (ГА) в Тайбэе (Тайвань) 6 декабря  2006 года (далее «Стандартные рекомендации МФК»).</w:t>
      </w:r>
    </w:p>
    <w:p>
      <w:r>
        <w:t>1.1. Национальная аттестация:</w:t>
      </w:r>
    </w:p>
    <w:p>
      <w:r>
        <w:t>Каждая страна-член может организовать экзамен с 1 по 5 дан в соответствии со стандартными рекомендациями МФК и всеми правилами, упомянутыми  в этом документе.</w:t>
      </w:r>
    </w:p>
    <w:p>
      <w:r>
        <w:t>1.2. Аттестация ЕКФ:</w:t>
      </w:r>
    </w:p>
    <w:p>
      <w:r>
        <w:t>В случае национального аттестационного экзамена ЕКФ может включить 6 и 7 дан в соответствии принципами упомянутыми ниже.</w:t>
      </w:r>
    </w:p>
    <w:p>
      <w:r>
        <w:t xml:space="preserve">  В случае мероприятий ЕКФ таких, как судейский семинар, Чемпионат по Кендо, Иайдо и Дзедо и т.д., экзамен с 1 по 7 дан может быть организован ЕКФ с судьями, сформированными в соответствии со стандартными рекомендациями МФК и настоящими правилами, с 6 дана в соответствии с соглашениями ГА, принятыми в Барселоне в апреле 1992 при помощи  делегации Всеяпонской Федерации Кендо,  следуя правилам Всеяпонской Федерации Кендо для формирования судейской комиссии тщательным образом.</w:t>
      </w:r>
    </w:p>
    <w:p>
      <w:r>
        <w:t>2. Экзаменационные судьи.</w:t>
      </w:r>
    </w:p>
    <w:p>
      <w:r>
        <w:t xml:space="preserve">2.1. Экзаменационные судьи должны быть сформированы в соответствии с рекомендациями, приведенными ниже. В исключительных случаях, когда невозможно назначить требуемое число квалифицированных экзаменаторов для 4 дана или выше, число экзаменаторов может быть снижено до пяти с согласия технического директора ЕКФ. В этом случае, для решения о проведении экзамена должно быть получено согласие как минимум  четырех экзаменаторов. В этом случае, пожалуйста, обратите внимание, что экзамен не будет считаться действительным без  точного письменного и предварительного соглашения с техническим директором ЕКФ (ТД). </w:t>
      </w:r>
    </w:p>
    <w:p>
      <w:r>
        <w:t>2.2. Судейская комиссия должна быть сформирована в соответствии со стандартными рекомендациями МФК (квалификация экзаменатора, требуемое число экзаменаторов и минимальный кворум для одобрения):</w:t>
      </w:r>
    </w:p>
    <w:p/>
    <w:p/>
    <w:tbl>
      <w:tblPr>
        <w:tblStyle w:val="6"/>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Экзамен на получение Дана</w:t>
            </w:r>
          </w:p>
        </w:tc>
        <w:tc>
          <w:tcPr>
            <w:tcW w:w="2393" w:type="dxa"/>
          </w:tcPr>
          <w:p>
            <w:pPr>
              <w:spacing w:after="0" w:line="240" w:lineRule="auto"/>
            </w:pPr>
            <w:r>
              <w:t>Экзаменатор</w:t>
            </w:r>
          </w:p>
        </w:tc>
        <w:tc>
          <w:tcPr>
            <w:tcW w:w="2393" w:type="dxa"/>
          </w:tcPr>
          <w:p>
            <w:pPr>
              <w:spacing w:after="0" w:line="240" w:lineRule="auto"/>
            </w:pPr>
            <w:r>
              <w:t>Количество</w:t>
            </w:r>
          </w:p>
        </w:tc>
        <w:tc>
          <w:tcPr>
            <w:tcW w:w="2393" w:type="dxa"/>
          </w:tcPr>
          <w:p>
            <w:pPr>
              <w:spacing w:after="0" w:line="240" w:lineRule="auto"/>
            </w:pPr>
            <w:r>
              <w:t>Критерий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1</w:t>
            </w:r>
          </w:p>
        </w:tc>
        <w:tc>
          <w:tcPr>
            <w:tcW w:w="2393" w:type="dxa"/>
          </w:tcPr>
          <w:p>
            <w:pPr>
              <w:spacing w:after="0" w:line="240" w:lineRule="auto"/>
            </w:pPr>
            <w:r>
              <w:t>4 Дан и выше</w:t>
            </w:r>
          </w:p>
        </w:tc>
        <w:tc>
          <w:tcPr>
            <w:tcW w:w="2393" w:type="dxa"/>
          </w:tcPr>
          <w:p>
            <w:pPr>
              <w:spacing w:after="0" w:line="240" w:lineRule="auto"/>
            </w:pPr>
            <w:r>
              <w:t>5</w:t>
            </w:r>
          </w:p>
        </w:tc>
        <w:tc>
          <w:tcPr>
            <w:tcW w:w="2393" w:type="dxa"/>
          </w:tcPr>
          <w:p>
            <w:pPr>
              <w:spacing w:after="0" w:line="240" w:lineRule="auto"/>
            </w:pPr>
            <w:r>
              <w:t>Согласие минимум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2</w:t>
            </w:r>
          </w:p>
        </w:tc>
        <w:tc>
          <w:tcPr>
            <w:tcW w:w="2393" w:type="dxa"/>
          </w:tcPr>
          <w:p>
            <w:pPr>
              <w:spacing w:after="0" w:line="240" w:lineRule="auto"/>
            </w:pPr>
            <w:r>
              <w:t>5 Дан и выше</w:t>
            </w:r>
          </w:p>
        </w:tc>
        <w:tc>
          <w:tcPr>
            <w:tcW w:w="2393" w:type="dxa"/>
          </w:tcPr>
          <w:p>
            <w:pPr>
              <w:spacing w:after="0" w:line="240" w:lineRule="auto"/>
            </w:pPr>
            <w:r>
              <w:t>5</w:t>
            </w:r>
          </w:p>
        </w:tc>
        <w:tc>
          <w:tcPr>
            <w:tcW w:w="2393" w:type="dxa"/>
          </w:tcPr>
          <w:p>
            <w:pPr>
              <w:spacing w:after="0" w:line="240" w:lineRule="auto"/>
            </w:pPr>
            <w:r>
              <w:t>Согласие минимум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3</w:t>
            </w:r>
          </w:p>
        </w:tc>
        <w:tc>
          <w:tcPr>
            <w:tcW w:w="2393" w:type="dxa"/>
          </w:tcPr>
          <w:p>
            <w:pPr>
              <w:spacing w:after="0" w:line="240" w:lineRule="auto"/>
            </w:pPr>
            <w:r>
              <w:t>5 Дан и выше</w:t>
            </w:r>
          </w:p>
        </w:tc>
        <w:tc>
          <w:tcPr>
            <w:tcW w:w="2393" w:type="dxa"/>
          </w:tcPr>
          <w:p>
            <w:pPr>
              <w:spacing w:after="0" w:line="240" w:lineRule="auto"/>
            </w:pPr>
            <w:r>
              <w:t>5</w:t>
            </w:r>
          </w:p>
        </w:tc>
        <w:tc>
          <w:tcPr>
            <w:tcW w:w="2393" w:type="dxa"/>
          </w:tcPr>
          <w:p>
            <w:pPr>
              <w:spacing w:after="0" w:line="240" w:lineRule="auto"/>
            </w:pPr>
            <w:r>
              <w:t>Согласие минимум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4</w:t>
            </w:r>
          </w:p>
        </w:tc>
        <w:tc>
          <w:tcPr>
            <w:tcW w:w="2393" w:type="dxa"/>
          </w:tcPr>
          <w:p>
            <w:pPr>
              <w:spacing w:after="0" w:line="240" w:lineRule="auto"/>
            </w:pPr>
            <w:r>
              <w:t>6 Дан и выше</w:t>
            </w:r>
          </w:p>
        </w:tc>
        <w:tc>
          <w:tcPr>
            <w:tcW w:w="2393" w:type="dxa"/>
          </w:tcPr>
          <w:p>
            <w:pPr>
              <w:spacing w:after="0" w:line="240" w:lineRule="auto"/>
            </w:pPr>
            <w:r>
              <w:t>6</w:t>
            </w:r>
          </w:p>
        </w:tc>
        <w:tc>
          <w:tcPr>
            <w:tcW w:w="2393" w:type="dxa"/>
          </w:tcPr>
          <w:p>
            <w:pPr>
              <w:spacing w:after="0" w:line="240" w:lineRule="auto"/>
            </w:pPr>
            <w:r>
              <w:t>Согласие минимум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5</w:t>
            </w:r>
          </w:p>
        </w:tc>
        <w:tc>
          <w:tcPr>
            <w:tcW w:w="2393" w:type="dxa"/>
          </w:tcPr>
          <w:p>
            <w:pPr>
              <w:spacing w:after="0" w:line="240" w:lineRule="auto"/>
            </w:pPr>
            <w:r>
              <w:t>7 Дан и выше</w:t>
            </w:r>
          </w:p>
        </w:tc>
        <w:tc>
          <w:tcPr>
            <w:tcW w:w="2393" w:type="dxa"/>
          </w:tcPr>
          <w:p>
            <w:pPr>
              <w:spacing w:after="0" w:line="240" w:lineRule="auto"/>
            </w:pPr>
            <w:r>
              <w:t>6</w:t>
            </w:r>
          </w:p>
        </w:tc>
        <w:tc>
          <w:tcPr>
            <w:tcW w:w="2393" w:type="dxa"/>
          </w:tcPr>
          <w:p>
            <w:pPr>
              <w:spacing w:after="0" w:line="240" w:lineRule="auto"/>
            </w:pPr>
            <w:r>
              <w:t>Согласие минимум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6</w:t>
            </w:r>
          </w:p>
        </w:tc>
        <w:tc>
          <w:tcPr>
            <w:tcW w:w="2393" w:type="dxa"/>
          </w:tcPr>
          <w:p>
            <w:pPr>
              <w:spacing w:after="0" w:line="240" w:lineRule="auto"/>
            </w:pPr>
            <w:r>
              <w:t>7 Дан и выше</w:t>
            </w:r>
          </w:p>
        </w:tc>
        <w:tc>
          <w:tcPr>
            <w:tcW w:w="2393" w:type="dxa"/>
          </w:tcPr>
          <w:p>
            <w:pPr>
              <w:spacing w:after="0" w:line="240" w:lineRule="auto"/>
            </w:pPr>
            <w:r>
              <w:t>6</w:t>
            </w:r>
          </w:p>
        </w:tc>
        <w:tc>
          <w:tcPr>
            <w:tcW w:w="2393" w:type="dxa"/>
          </w:tcPr>
          <w:p>
            <w:pPr>
              <w:spacing w:after="0" w:line="240" w:lineRule="auto"/>
            </w:pPr>
            <w:r>
              <w:t>Согласие минимум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7</w:t>
            </w:r>
          </w:p>
        </w:tc>
        <w:tc>
          <w:tcPr>
            <w:tcW w:w="2393" w:type="dxa"/>
          </w:tcPr>
          <w:p>
            <w:pPr>
              <w:spacing w:after="0" w:line="240" w:lineRule="auto"/>
            </w:pPr>
            <w:r>
              <w:t>7 Дан и выше</w:t>
            </w:r>
          </w:p>
        </w:tc>
        <w:tc>
          <w:tcPr>
            <w:tcW w:w="2393" w:type="dxa"/>
          </w:tcPr>
          <w:p>
            <w:pPr>
              <w:spacing w:after="0" w:line="240" w:lineRule="auto"/>
            </w:pPr>
            <w:r>
              <w:t>6</w:t>
            </w:r>
          </w:p>
        </w:tc>
        <w:tc>
          <w:tcPr>
            <w:tcW w:w="2393" w:type="dxa"/>
          </w:tcPr>
          <w:p>
            <w:pPr>
              <w:spacing w:after="0" w:line="240" w:lineRule="auto"/>
            </w:pPr>
            <w:r>
              <w:t>Согласие минимум 4</w:t>
            </w:r>
          </w:p>
        </w:tc>
      </w:tr>
    </w:tbl>
    <w:p/>
    <w:p>
      <w:r>
        <w:t>2.3. Квалификация кандидата должна соответствовать Стандартным Рекомендациям МФК, все кандидаты должны быть зарегистрированными членами в своей стране и иметь как минимум следующий период практики и возраст:</w:t>
      </w:r>
    </w:p>
    <w:tbl>
      <w:tblPr>
        <w:tblStyle w:val="6"/>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Дан:</w:t>
            </w:r>
          </w:p>
        </w:tc>
        <w:tc>
          <w:tcPr>
            <w:tcW w:w="3190" w:type="dxa"/>
          </w:tcPr>
          <w:p>
            <w:pPr>
              <w:spacing w:after="0" w:line="240" w:lineRule="auto"/>
            </w:pPr>
            <w:r>
              <w:t>Минимальный период практики</w:t>
            </w:r>
          </w:p>
        </w:tc>
        <w:tc>
          <w:tcPr>
            <w:tcW w:w="3191" w:type="dxa"/>
          </w:tcPr>
          <w:p>
            <w:pPr>
              <w:spacing w:after="0" w:line="240" w:lineRule="auto"/>
            </w:pPr>
            <w:r>
              <w:t>Минимальный возраст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Шодан</w:t>
            </w:r>
          </w:p>
        </w:tc>
        <w:tc>
          <w:tcPr>
            <w:tcW w:w="3190" w:type="dxa"/>
          </w:tcPr>
          <w:p>
            <w:pPr>
              <w:spacing w:after="0" w:line="240" w:lineRule="auto"/>
            </w:pPr>
            <w:r>
              <w:t xml:space="preserve">3 месяца после экзамена иккю </w:t>
            </w:r>
          </w:p>
        </w:tc>
        <w:tc>
          <w:tcPr>
            <w:tcW w:w="3191" w:type="dxa"/>
          </w:tcPr>
          <w:p>
            <w:pPr>
              <w:spacing w:after="0" w:line="240" w:lineRule="auto"/>
            </w:pPr>
            <w: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Нидан</w:t>
            </w:r>
          </w:p>
        </w:tc>
        <w:tc>
          <w:tcPr>
            <w:tcW w:w="3190" w:type="dxa"/>
          </w:tcPr>
          <w:p>
            <w:pPr>
              <w:spacing w:after="0" w:line="240" w:lineRule="auto"/>
            </w:pPr>
            <w:r>
              <w:t>1 год после экзамена шодан</w:t>
            </w:r>
          </w:p>
        </w:tc>
        <w:tc>
          <w:tcPr>
            <w:tcW w:w="319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Сандан</w:t>
            </w:r>
          </w:p>
        </w:tc>
        <w:tc>
          <w:tcPr>
            <w:tcW w:w="3190" w:type="dxa"/>
          </w:tcPr>
          <w:p>
            <w:pPr>
              <w:spacing w:after="0" w:line="240" w:lineRule="auto"/>
            </w:pPr>
            <w:r>
              <w:t>2 года после экзамена нидан</w:t>
            </w:r>
          </w:p>
        </w:tc>
        <w:tc>
          <w:tcPr>
            <w:tcW w:w="319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Ёндан</w:t>
            </w:r>
          </w:p>
        </w:tc>
        <w:tc>
          <w:tcPr>
            <w:tcW w:w="3190" w:type="dxa"/>
          </w:tcPr>
          <w:p>
            <w:pPr>
              <w:spacing w:after="0" w:line="240" w:lineRule="auto"/>
            </w:pPr>
            <w:r>
              <w:t>3 года после экзамена сандан</w:t>
            </w:r>
          </w:p>
        </w:tc>
        <w:tc>
          <w:tcPr>
            <w:tcW w:w="319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Годан</w:t>
            </w:r>
          </w:p>
        </w:tc>
        <w:tc>
          <w:tcPr>
            <w:tcW w:w="3190" w:type="dxa"/>
          </w:tcPr>
          <w:p>
            <w:pPr>
              <w:spacing w:after="0" w:line="240" w:lineRule="auto"/>
            </w:pPr>
            <w:r>
              <w:t>4 года после экзамена ёндан</w:t>
            </w:r>
          </w:p>
        </w:tc>
        <w:tc>
          <w:tcPr>
            <w:tcW w:w="319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Рокудан</w:t>
            </w:r>
          </w:p>
        </w:tc>
        <w:tc>
          <w:tcPr>
            <w:tcW w:w="3190" w:type="dxa"/>
          </w:tcPr>
          <w:p>
            <w:pPr>
              <w:spacing w:after="0" w:line="240" w:lineRule="auto"/>
            </w:pPr>
            <w:r>
              <w:t>5 лет после экзамена годан</w:t>
            </w:r>
          </w:p>
        </w:tc>
        <w:tc>
          <w:tcPr>
            <w:tcW w:w="319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Нанадан</w:t>
            </w:r>
          </w:p>
        </w:tc>
        <w:tc>
          <w:tcPr>
            <w:tcW w:w="3190" w:type="dxa"/>
          </w:tcPr>
          <w:p>
            <w:pPr>
              <w:spacing w:after="0" w:line="240" w:lineRule="auto"/>
            </w:pPr>
            <w:r>
              <w:t>6 лет после экзамена рокудан</w:t>
            </w:r>
          </w:p>
        </w:tc>
        <w:tc>
          <w:tcPr>
            <w:tcW w:w="3191" w:type="dxa"/>
          </w:tcPr>
          <w:p>
            <w:pPr>
              <w:spacing w:after="0" w:line="240" w:lineRule="auto"/>
            </w:pPr>
          </w:p>
        </w:tc>
      </w:tr>
    </w:tbl>
    <w:p>
      <w:r>
        <w:t xml:space="preserve"> </w:t>
      </w:r>
    </w:p>
    <w:p>
      <w:r>
        <w:t>Если кандидату на получение 6, 7  или 8 Дана в день экзамена 60 или более лет,  достаточны следующие периоды практики:</w:t>
      </w:r>
    </w:p>
    <w:p>
      <w:r>
        <w:t>Рокудан: 2 года или более после годан.</w:t>
      </w:r>
    </w:p>
    <w:p>
      <w:r>
        <w:t>Нанадан: 3 года или более после рокудан.</w:t>
      </w:r>
    </w:p>
    <w:p>
      <w:r>
        <w:t>Хачидан: 5 лет или более после нанадан.</w:t>
      </w:r>
    </w:p>
    <w:p>
      <w:r>
        <w:t>2.4. Рассмотрение уровней выше 7 дана упоминается в пункте 7 Стандартных Рекомендаций МФК.</w:t>
      </w:r>
    </w:p>
    <w:p>
      <w:r>
        <w:t>3. Одобрение президентом.</w:t>
      </w:r>
    </w:p>
    <w:p>
      <w:r>
        <w:t>Члены другой национальной федерации должны получить одобрение своего президента (см. пункт 08.01 устава ЕКФ) для проведения экзамена.</w:t>
      </w:r>
    </w:p>
    <w:p>
      <w:r>
        <w:t>Для экзаменов, организованных ЕКФ, когда регистрация на экзамен проводится с помощью веб-сайта ЕКФ с участием федерации члена, такая регистрация является авторизацией, указанной ранее.</w:t>
      </w:r>
    </w:p>
    <w:p>
      <w:r>
        <w:t>4. Административная процедура для всех экзаменов.</w:t>
      </w:r>
    </w:p>
    <w:p>
      <w:r>
        <w:t>4.1. Каждый национальный экзамен должен быть объявлен ЕКФ как минимум за 2 месяца путем принятия заявки на участие в экзамене в онлайн системе ЕКФ, и опубликован страной-членом в Европейском Календаре; этот способ дает возможность для участия каждому в Европе.</w:t>
      </w:r>
    </w:p>
    <w:p>
      <w:r>
        <w:t>4.2. Для каждого зарубежного экзамена необходимо письменное согласие президента своей Федерации.</w:t>
      </w:r>
    </w:p>
    <w:p>
      <w:pPr>
        <w:rPr>
          <w:u w:val="single"/>
        </w:rPr>
      </w:pPr>
      <w:r>
        <w:t xml:space="preserve">4.3. </w:t>
      </w:r>
      <w:r>
        <w:rPr>
          <w:u w:val="single"/>
        </w:rPr>
        <w:t>Для удобства настоятельно рекомендуется использовать форму записи, содержащую всю необходимую информацию (фамилия, имя, номер ЕКФ и Федерация регистрации кандидата). Подпись президента при этом является эквивалентом требуемого письменного разрешения. Более того, настоятельно рекомендуется вносить в список кандидатов, представленных для зарубежного экзамена шодан, сразу в базу данных ЕКФ во время подписания их заявлений.</w:t>
      </w:r>
    </w:p>
    <w:p>
      <w:r>
        <w:t>4.4. Информация в ЕКФ должна включать состав судей в соответствии со стандартными рекомендациями МФК, чтобы дать техническому директору ЕКФ возможность его подтвердить, согласно решению Будапештской ГА в 2004 году, вместе с максимальным уровнем дана, который может быть получен.</w:t>
      </w:r>
    </w:p>
    <w:p>
      <w:r>
        <w:t>4.5. «Желтые карточки» успешных кандидатов (отличных Шодан) будут подписаны ответственным должностным лицом (национальным или ЕКФ) после экзамена. Желтые карточки успешных кандидатов Шодан будут подготовлены ЕКФ и отправлены заинтересованному члену федерации, если они не были отправлены сразу после экзамена. Страны-члены должны отправить списки с результатами в генеральный секретариат ЕКФ и поддерживать и обновлять онлайн журнал Данов. Для подробной информации посмотрите актуальные документы на сайте ЕКФ.</w:t>
      </w:r>
    </w:p>
    <w:p>
      <w:r>
        <w:t>4.6. Что касается взносов на участие, независимо от того, проводится ли экзамен под руководством ЕКФ или нет, взнос за участие должен быть оплачен заранее. В то время как регистрационный взнос должен быть оплачен сразу после успешной сдачи экзамена; Страна-организатор определяет количество, но мы полагаем что объем взносов должен быть основан на данных приведенных ниже.</w:t>
      </w:r>
    </w:p>
    <w:p>
      <w:r>
        <w:t>4.6.1. Для национальных экзаменов, организатор удерживает и организационный, и регистрационный взносы.</w:t>
      </w:r>
    </w:p>
    <w:p>
      <w:r>
        <w:t>4.6.2. Для экзаменов ЕКФ уплачивается следующий организационный взнос на банковский счет ЕКФ или, в исключительных случаях, в представительство ЕКФ перед экзаменом:</w:t>
      </w:r>
    </w:p>
    <w:tbl>
      <w:tblPr>
        <w:tblStyle w:val="6"/>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На получение Дана:</w:t>
            </w:r>
          </w:p>
        </w:tc>
        <w:tc>
          <w:tcPr>
            <w:tcW w:w="4786" w:type="dxa"/>
          </w:tcPr>
          <w:p>
            <w:pPr>
              <w:spacing w:after="0" w:line="240" w:lineRule="auto"/>
            </w:pPr>
            <w:r>
              <w:t>Стоимость: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1 Дан</w:t>
            </w:r>
          </w:p>
        </w:tc>
        <w:tc>
          <w:tcPr>
            <w:tcW w:w="4786" w:type="dxa"/>
          </w:tcPr>
          <w:p>
            <w:pPr>
              <w:spacing w:after="0" w:line="240" w:lineRule="auto"/>
            </w:pPr>
            <w:r>
              <w:t>€ 15,00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2 Дан</w:t>
            </w:r>
          </w:p>
        </w:tc>
        <w:tc>
          <w:tcPr>
            <w:tcW w:w="4786" w:type="dxa"/>
          </w:tcPr>
          <w:p>
            <w:pPr>
              <w:spacing w:after="0" w:line="240" w:lineRule="auto"/>
            </w:pPr>
            <w:r>
              <w:t>€ 20,00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3 Дан</w:t>
            </w:r>
          </w:p>
        </w:tc>
        <w:tc>
          <w:tcPr>
            <w:tcW w:w="4786" w:type="dxa"/>
          </w:tcPr>
          <w:p>
            <w:pPr>
              <w:spacing w:after="0" w:line="240" w:lineRule="auto"/>
            </w:pPr>
            <w:r>
              <w:t>€ 30,00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4 Дан</w:t>
            </w:r>
          </w:p>
        </w:tc>
        <w:tc>
          <w:tcPr>
            <w:tcW w:w="4786" w:type="dxa"/>
          </w:tcPr>
          <w:p>
            <w:pPr>
              <w:spacing w:after="0" w:line="240" w:lineRule="auto"/>
            </w:pPr>
            <w:r>
              <w:t>€ 50,00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5 Дан</w:t>
            </w:r>
          </w:p>
        </w:tc>
        <w:tc>
          <w:tcPr>
            <w:tcW w:w="4786" w:type="dxa"/>
          </w:tcPr>
          <w:p>
            <w:pPr>
              <w:spacing w:after="0" w:line="240" w:lineRule="auto"/>
            </w:pPr>
            <w:r>
              <w:t>€ 70,00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6 Дан</w:t>
            </w:r>
          </w:p>
        </w:tc>
        <w:tc>
          <w:tcPr>
            <w:tcW w:w="4786" w:type="dxa"/>
          </w:tcPr>
          <w:p>
            <w:pPr>
              <w:spacing w:after="0" w:line="240" w:lineRule="auto"/>
            </w:pPr>
            <w:r>
              <w:t>€ 100,00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7 Дан</w:t>
            </w:r>
          </w:p>
        </w:tc>
        <w:tc>
          <w:tcPr>
            <w:tcW w:w="4786" w:type="dxa"/>
          </w:tcPr>
          <w:p>
            <w:pPr>
              <w:spacing w:after="0" w:line="240" w:lineRule="auto"/>
            </w:pPr>
            <w:r>
              <w:t>€ 130,00</w:t>
            </w:r>
          </w:p>
        </w:tc>
      </w:tr>
    </w:tbl>
    <w:p/>
    <w:p>
      <w:r>
        <w:t xml:space="preserve">4.6.3. На экзамене ЕКФ следующие взносы в ЕКФ должны быть уплачены при успешной сдаче экзамена: </w:t>
      </w:r>
    </w:p>
    <w:tbl>
      <w:tblPr>
        <w:tblStyle w:val="6"/>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На получение Дана:</w:t>
            </w:r>
          </w:p>
        </w:tc>
        <w:tc>
          <w:tcPr>
            <w:tcW w:w="4786" w:type="dxa"/>
          </w:tcPr>
          <w:p>
            <w:pPr>
              <w:spacing w:after="0" w:line="240" w:lineRule="auto"/>
            </w:pPr>
            <w:r>
              <w:t>Стоимость: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1 Дан</w:t>
            </w:r>
          </w:p>
        </w:tc>
        <w:tc>
          <w:tcPr>
            <w:tcW w:w="4786" w:type="dxa"/>
          </w:tcPr>
          <w:p>
            <w:pPr>
              <w:spacing w:after="0" w:line="240" w:lineRule="auto"/>
            </w:pPr>
            <w:r>
              <w:t>€ 20,00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2 Дан</w:t>
            </w:r>
          </w:p>
        </w:tc>
        <w:tc>
          <w:tcPr>
            <w:tcW w:w="4786" w:type="dxa"/>
          </w:tcPr>
          <w:p>
            <w:pPr>
              <w:spacing w:after="0" w:line="240" w:lineRule="auto"/>
            </w:pPr>
            <w:r>
              <w:t>€ 30,00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3 Дан</w:t>
            </w:r>
          </w:p>
        </w:tc>
        <w:tc>
          <w:tcPr>
            <w:tcW w:w="4786" w:type="dxa"/>
          </w:tcPr>
          <w:p>
            <w:pPr>
              <w:spacing w:after="0" w:line="240" w:lineRule="auto"/>
            </w:pPr>
            <w:r>
              <w:t>€ 50,00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4 Дан</w:t>
            </w:r>
          </w:p>
        </w:tc>
        <w:tc>
          <w:tcPr>
            <w:tcW w:w="4786" w:type="dxa"/>
          </w:tcPr>
          <w:p>
            <w:pPr>
              <w:spacing w:after="0" w:line="240" w:lineRule="auto"/>
            </w:pPr>
            <w:r>
              <w:t>€ 70,00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5 Дан</w:t>
            </w:r>
          </w:p>
        </w:tc>
        <w:tc>
          <w:tcPr>
            <w:tcW w:w="4786" w:type="dxa"/>
          </w:tcPr>
          <w:p>
            <w:pPr>
              <w:spacing w:after="0" w:line="240" w:lineRule="auto"/>
            </w:pPr>
            <w:r>
              <w:t>€ 100,00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6 Дан</w:t>
            </w:r>
          </w:p>
        </w:tc>
        <w:tc>
          <w:tcPr>
            <w:tcW w:w="4786" w:type="dxa"/>
          </w:tcPr>
          <w:p>
            <w:pPr>
              <w:spacing w:after="0" w:line="240" w:lineRule="auto"/>
            </w:pPr>
            <w:r>
              <w:t>€ 130,00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7 Дан</w:t>
            </w:r>
          </w:p>
        </w:tc>
        <w:tc>
          <w:tcPr>
            <w:tcW w:w="4786" w:type="dxa"/>
          </w:tcPr>
          <w:p>
            <w:pPr>
              <w:spacing w:after="0" w:line="240" w:lineRule="auto"/>
            </w:pPr>
            <w:r>
              <w:t>€ 170,00</w:t>
            </w:r>
          </w:p>
        </w:tc>
      </w:tr>
    </w:tbl>
    <w:p/>
    <w:p>
      <w:r>
        <w:t>5. Положения для экзамена по Кендо</w:t>
      </w:r>
    </w:p>
    <w:p>
      <w:r>
        <w:t>5.1. Национальные экзамены.</w:t>
      </w:r>
    </w:p>
    <w:p>
      <w:r>
        <w:t>Эти экзамены должны проходить в соответствии со Стандартными Рекомендациями МФК.</w:t>
      </w:r>
    </w:p>
    <w:p>
      <w:r>
        <w:t>5.2. Экзамены ЕКФ.</w:t>
      </w:r>
    </w:p>
    <w:p>
      <w:r>
        <w:t>5.2.1. Предмет экзамена следующий:</w:t>
      </w:r>
    </w:p>
    <w:p>
      <w:r>
        <w:t>На получение Дана:</w:t>
      </w:r>
      <w:r>
        <w:tab/>
      </w:r>
      <w:r>
        <w:tab/>
      </w:r>
      <w:r>
        <w:t>Предмет экзамена:</w:t>
      </w:r>
      <w:r>
        <w:br w:type="textWrapping"/>
      </w:r>
      <w:r>
        <w:t>1-7 Дан</w:t>
      </w:r>
      <w:r>
        <w:tab/>
      </w:r>
      <w:r>
        <w:tab/>
      </w:r>
      <w:r>
        <w:tab/>
      </w:r>
      <w:r>
        <w:tab/>
      </w:r>
      <w:r>
        <w:t>Состязание и Ката.</w:t>
      </w:r>
    </w:p>
    <w:p>
      <w:r>
        <w:t>5.2.2. Экзамен Ката организуется следующим образом:</w:t>
      </w:r>
    </w:p>
    <w:tbl>
      <w:tblPr>
        <w:tblStyle w:val="6"/>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На получение Дана:</w:t>
            </w:r>
          </w:p>
        </w:tc>
        <w:tc>
          <w:tcPr>
            <w:tcW w:w="4786" w:type="dxa"/>
          </w:tcPr>
          <w:p>
            <w:pPr>
              <w:spacing w:after="0" w:line="240" w:lineRule="auto"/>
            </w:pPr>
            <w:r>
              <w:t>Предмет экзамена: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1 Дан</w:t>
            </w:r>
          </w:p>
        </w:tc>
        <w:tc>
          <w:tcPr>
            <w:tcW w:w="4786" w:type="dxa"/>
          </w:tcPr>
          <w:p>
            <w:pPr>
              <w:spacing w:after="0" w:line="240" w:lineRule="auto"/>
            </w:pPr>
            <w:r>
              <w:t>Тачи иппон – до гохонмэ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2 Дан</w:t>
            </w:r>
          </w:p>
        </w:tc>
        <w:tc>
          <w:tcPr>
            <w:tcW w:w="4786" w:type="dxa"/>
          </w:tcPr>
          <w:p>
            <w:pPr>
              <w:spacing w:after="0" w:line="240" w:lineRule="auto"/>
            </w:pPr>
            <w:r>
              <w:t>Тачи иппон – до нанахонмэ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3 Дан и выше</w:t>
            </w:r>
          </w:p>
        </w:tc>
        <w:tc>
          <w:tcPr>
            <w:tcW w:w="4786" w:type="dxa"/>
          </w:tcPr>
          <w:p>
            <w:pPr>
              <w:spacing w:after="0" w:line="240" w:lineRule="auto"/>
            </w:pPr>
            <w:r>
              <w:t>Тачи иппон – до нанахонмэ (1-7) и Кодачи санбон (1-10).</w:t>
            </w:r>
          </w:p>
        </w:tc>
      </w:tr>
    </w:tbl>
    <w:p/>
    <w:p>
      <w:r>
        <w:t>5.3. Замечание: Если кандидат проваливает тест Ката, ему предоставляется возможность сдать этот предмет еще один раз на экзамене, проводимом позже. Для этого кандидат должен получить сертификат, оригинал которого он предоставит на второй своей попытке.</w:t>
      </w:r>
    </w:p>
    <w:p>
      <w:r>
        <w:t>6. Положения для экзаменов по Иайдо и Дзёдо.</w:t>
      </w:r>
    </w:p>
    <w:p>
      <w:r>
        <w:t>6.1. Предмет экзамена по Иайдо:</w:t>
      </w:r>
    </w:p>
    <w:tbl>
      <w:tblPr>
        <w:tblStyle w:val="6"/>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shd w:val="clear" w:color="auto" w:fill="auto"/>
          </w:tcPr>
          <w:p>
            <w:pPr>
              <w:spacing w:after="0" w:line="240" w:lineRule="auto"/>
            </w:pPr>
            <w:r>
              <w:t>На получение Дана:</w:t>
            </w:r>
          </w:p>
        </w:tc>
        <w:tc>
          <w:tcPr>
            <w:tcW w:w="4786" w:type="dxa"/>
            <w:shd w:val="clear" w:color="auto" w:fill="auto"/>
          </w:tcPr>
          <w:p>
            <w:pPr>
              <w:spacing w:after="0" w:line="240" w:lineRule="auto"/>
            </w:pPr>
            <w:r>
              <w:t>Предмет: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shd w:val="clear" w:color="auto" w:fill="auto"/>
          </w:tcPr>
          <w:p>
            <w:pPr>
              <w:spacing w:after="0" w:line="240" w:lineRule="auto"/>
            </w:pPr>
            <w:r>
              <w:t>1-3 Дан</w:t>
            </w:r>
          </w:p>
        </w:tc>
        <w:tc>
          <w:tcPr>
            <w:tcW w:w="4786" w:type="dxa"/>
            <w:shd w:val="clear" w:color="auto" w:fill="auto"/>
          </w:tcPr>
          <w:p>
            <w:pPr>
              <w:spacing w:after="0" w:line="240" w:lineRule="auto"/>
            </w:pPr>
            <w:r>
              <w:t xml:space="preserve">5 </w:t>
            </w:r>
            <w:r>
              <w:rPr>
                <w:lang w:val="en-US"/>
              </w:rPr>
              <w:t>Shitei</w:t>
            </w:r>
            <w:r>
              <w:t xml:space="preserve"> </w:t>
            </w:r>
            <w:r>
              <w:rPr>
                <w:lang w:val="en-US"/>
              </w:rPr>
              <w:t>waza</w:t>
            </w:r>
            <w:r>
              <w:t xml:space="preserve"> из </w:t>
            </w:r>
            <w:r>
              <w:rPr>
                <w:lang w:val="en-US"/>
              </w:rPr>
              <w:t>ZNKR</w:t>
            </w:r>
            <w:r>
              <w:t>-</w:t>
            </w:r>
            <w:r>
              <w:rPr>
                <w:lang w:val="en-US"/>
              </w:rPr>
              <w:t>Iai</w:t>
            </w:r>
            <w:r>
              <w:t>-</w:t>
            </w:r>
            <w:r>
              <w:rPr>
                <w:lang w:val="en-US"/>
              </w:rPr>
              <w:t>Kata</w:t>
            </w:r>
            <w:r>
              <w:t xml:space="preserve"> (Замечание: первый из </w:t>
            </w:r>
            <w:r>
              <w:rPr>
                <w:lang w:val="en-US"/>
              </w:rPr>
              <w:t>Shitei</w:t>
            </w:r>
            <w:r>
              <w:t xml:space="preserve"> </w:t>
            </w:r>
            <w:r>
              <w:rPr>
                <w:lang w:val="en-US"/>
              </w:rPr>
              <w:t>waza</w:t>
            </w:r>
            <w:r>
              <w:t xml:space="preserve"> может быть замещен одним свободным выбором Koryu-Kata)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shd w:val="clear" w:color="auto" w:fill="auto"/>
          </w:tcPr>
          <w:p>
            <w:pPr>
              <w:spacing w:after="0" w:line="240" w:lineRule="auto"/>
            </w:pPr>
            <w:r>
              <w:t>4-5 Дан</w:t>
            </w:r>
          </w:p>
        </w:tc>
        <w:tc>
          <w:tcPr>
            <w:tcW w:w="4786" w:type="dxa"/>
            <w:shd w:val="clear" w:color="auto" w:fill="auto"/>
          </w:tcPr>
          <w:p>
            <w:pPr>
              <w:spacing w:after="0" w:line="240" w:lineRule="auto"/>
            </w:pPr>
            <w:r>
              <w:t>1 свободный выбор Koryu-Kata и 4 Shitei waza из ZNKR-Iai-Kata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shd w:val="clear" w:color="auto" w:fill="auto"/>
          </w:tcPr>
          <w:p>
            <w:pPr>
              <w:spacing w:after="0" w:line="240" w:lineRule="auto"/>
            </w:pPr>
            <w:r>
              <w:t>6-7 Дан</w:t>
            </w:r>
          </w:p>
        </w:tc>
        <w:tc>
          <w:tcPr>
            <w:tcW w:w="4786" w:type="dxa"/>
            <w:shd w:val="clear" w:color="auto" w:fill="auto"/>
          </w:tcPr>
          <w:p>
            <w:pPr>
              <w:spacing w:after="0" w:line="240" w:lineRule="auto"/>
            </w:pPr>
            <w:r>
              <w:t>2 свободных выбора Koryu-Kata и 3 Shitei waza из ZNKR-Iai-Kata</w:t>
            </w:r>
          </w:p>
        </w:tc>
      </w:tr>
    </w:tbl>
    <w:p>
      <w:r>
        <w:t xml:space="preserve"> </w:t>
      </w:r>
    </w:p>
    <w:p>
      <w:r>
        <w:t>С 6 Дана и выше, использование Синкэн обязательно</w:t>
      </w:r>
      <w:r>
        <w:rPr>
          <w:u w:val="single"/>
        </w:rPr>
        <w:t xml:space="preserve">, пока Форс-Мажор (включая правовые ограничения) не воспрепятствует его использованию. </w:t>
      </w:r>
      <w:r>
        <w:t xml:space="preserve"> Затраченное время обсуждается, но не будет строгих ограничений по времени.</w:t>
      </w:r>
    </w:p>
    <w:p>
      <w:r>
        <w:t>6.2. Предмет экзамена для Дзёдо:</w:t>
      </w:r>
    </w:p>
    <w:tbl>
      <w:tblPr>
        <w:tblStyle w:val="6"/>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На получение Дана:</w:t>
            </w:r>
          </w:p>
        </w:tc>
        <w:tc>
          <w:tcPr>
            <w:tcW w:w="4786" w:type="dxa"/>
          </w:tcPr>
          <w:p>
            <w:pPr>
              <w:spacing w:after="0" w:line="240" w:lineRule="auto"/>
            </w:pPr>
            <w:r>
              <w:t>Предмет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1-5 Дан</w:t>
            </w:r>
          </w:p>
        </w:tc>
        <w:tc>
          <w:tcPr>
            <w:tcW w:w="4786" w:type="dxa"/>
          </w:tcPr>
          <w:p>
            <w:pPr>
              <w:spacing w:after="0" w:line="240" w:lineRule="auto"/>
            </w:pPr>
            <w:r>
              <w:t>5 Ситеи ваза с ZNKR-Jodo-Kata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6-7 Дан</w:t>
            </w:r>
          </w:p>
        </w:tc>
        <w:tc>
          <w:tcPr>
            <w:tcW w:w="4786" w:type="dxa"/>
          </w:tcPr>
          <w:p>
            <w:pPr>
              <w:spacing w:after="0" w:line="240" w:lineRule="auto"/>
            </w:pPr>
            <w:r>
              <w:t>6 Ситеи ваза с ZNKR-Jodo-Kata</w:t>
            </w:r>
          </w:p>
        </w:tc>
      </w:tr>
    </w:tbl>
    <w:p>
      <w:r>
        <w:t xml:space="preserve"> </w:t>
      </w:r>
    </w:p>
    <w:p>
      <w:r>
        <w:t xml:space="preserve">По общему правилу кандидаты будут организованы в классификационные группы из трех или четырех человек в зависимости от уровня и возраста. Партнер для каждого кандидата назначается следующим образом: </w:t>
      </w:r>
    </w:p>
    <w:p>
      <w:r>
        <w:t>В группы из трех:</w:t>
      </w:r>
    </w:p>
    <w:p>
      <w:r>
        <w:t>- 1 тачи (</w:t>
      </w:r>
      <w:r>
        <w:rPr>
          <w:lang w:val="en-US"/>
        </w:rPr>
        <w:t>tachi</w:t>
      </w:r>
      <w:r>
        <w:t>) &gt;&lt;2 Дзё (</w:t>
      </w:r>
      <w:r>
        <w:rPr>
          <w:lang w:val="en-US"/>
        </w:rPr>
        <w:t>jo</w:t>
      </w:r>
      <w:r>
        <w:t xml:space="preserve">), </w:t>
      </w:r>
    </w:p>
    <w:p>
      <w:pPr>
        <w:rPr>
          <w:lang w:val="en-US"/>
        </w:rPr>
      </w:pPr>
      <w:r>
        <w:rPr>
          <w:lang w:val="en-US"/>
        </w:rPr>
        <w:t xml:space="preserve"> - 2 </w:t>
      </w:r>
      <w:r>
        <w:t>тачи</w:t>
      </w:r>
      <w:r>
        <w:rPr>
          <w:lang w:val="en-US"/>
        </w:rPr>
        <w:t xml:space="preserve"> (tachi)&gt;&lt; 3 </w:t>
      </w:r>
      <w:r>
        <w:t>2 Дзё (</w:t>
      </w:r>
      <w:r>
        <w:rPr>
          <w:lang w:val="en-US"/>
        </w:rPr>
        <w:t>jo</w:t>
      </w:r>
      <w:r>
        <w:t>)</w:t>
      </w:r>
      <w:r>
        <w:rPr>
          <w:lang w:val="en-US"/>
        </w:rPr>
        <w:t xml:space="preserve">,  </w:t>
      </w:r>
    </w:p>
    <w:p>
      <w:r>
        <w:t>- 3 тачи (</w:t>
      </w:r>
      <w:r>
        <w:rPr>
          <w:lang w:val="en-US"/>
        </w:rPr>
        <w:t>tachi</w:t>
      </w:r>
      <w:r>
        <w:t>) &gt;&lt; 1 Дзё (</w:t>
      </w:r>
      <w:r>
        <w:rPr>
          <w:lang w:val="en-US"/>
        </w:rPr>
        <w:t>jo</w:t>
      </w:r>
      <w:r>
        <w:t xml:space="preserve">).  </w:t>
      </w:r>
    </w:p>
    <w:p>
      <w:r>
        <w:t>В группы из четырех:</w:t>
      </w:r>
    </w:p>
    <w:p>
      <w:r>
        <w:t>- 1 тачи (</w:t>
      </w:r>
      <w:r>
        <w:rPr>
          <w:lang w:val="en-US"/>
        </w:rPr>
        <w:t>tachi</w:t>
      </w:r>
      <w:r>
        <w:t>) &gt;&lt;2 2 Дзё (</w:t>
      </w:r>
      <w:r>
        <w:rPr>
          <w:lang w:val="en-US"/>
        </w:rPr>
        <w:t>jo</w:t>
      </w:r>
      <w:r>
        <w:t xml:space="preserve">), </w:t>
      </w:r>
    </w:p>
    <w:p>
      <w:r>
        <w:t>- 2 тачи (</w:t>
      </w:r>
      <w:r>
        <w:rPr>
          <w:lang w:val="en-US"/>
        </w:rPr>
        <w:t>tachi</w:t>
      </w:r>
      <w:r>
        <w:t>)&gt;&lt;3 2 Дзё (</w:t>
      </w:r>
      <w:r>
        <w:rPr>
          <w:lang w:val="en-US"/>
        </w:rPr>
        <w:t>jo</w:t>
      </w:r>
      <w:r>
        <w:t xml:space="preserve">), </w:t>
      </w:r>
    </w:p>
    <w:p>
      <w:r>
        <w:t>- 3 тачи (</w:t>
      </w:r>
      <w:r>
        <w:rPr>
          <w:lang w:val="en-US"/>
        </w:rPr>
        <w:t>tachi</w:t>
      </w:r>
      <w:r>
        <w:t>) &gt;&lt;4 2 Дзё (</w:t>
      </w:r>
      <w:r>
        <w:rPr>
          <w:lang w:val="en-US"/>
        </w:rPr>
        <w:t>jo</w:t>
      </w:r>
      <w:r>
        <w:t xml:space="preserve">), </w:t>
      </w:r>
    </w:p>
    <w:p>
      <w:r>
        <w:t>- 4 тачи (</w:t>
      </w:r>
      <w:r>
        <w:rPr>
          <w:lang w:val="en-US"/>
        </w:rPr>
        <w:t>tachi</w:t>
      </w:r>
      <w:r>
        <w:t>) &gt;&lt; 1 2 Дзё (</w:t>
      </w:r>
      <w:r>
        <w:rPr>
          <w:lang w:val="en-US"/>
        </w:rPr>
        <w:t>jo</w:t>
      </w:r>
      <w:r>
        <w:t>).</w:t>
      </w:r>
    </w:p>
    <w:p/>
    <w:p>
      <w:r>
        <w:t>7. Сёго</w:t>
      </w:r>
    </w:p>
    <w:p>
      <w:r>
        <w:t xml:space="preserve">Согласно пункту 08.07 Регламента ЕКФ, каждая страна-член может наградить титулом Сёго (Рэнси, Кёси и Ханси) людей, зарегистрированных в этой стране-члене за выдающиеся личные качества и подобные достижения, особенно в преподавании и управлении. Титул Сёго будет зарегистрирован после того, как Правила Сёго страны-члена ЕКФ будут отправлены Техническому директору ЕКФ для утверждения согласно двум членам  </w:t>
      </w:r>
      <w:r>
        <w:rPr>
          <w:highlight w:val="yellow"/>
        </w:rPr>
        <w:t>the SCG</w:t>
      </w:r>
      <w:r>
        <w:t>, выбранным ГА. Взнос в ЕКФ в размере 100 евро должен быть выплачен каждым зарегистрированным на получение титула Сёго.</w:t>
      </w:r>
    </w:p>
    <w:p>
      <w:r>
        <w:t>Если у вас есть замечания по административным аспектам, пожалуйста, направьте их Генеральному секретарю ЕКФ.  По техническим вопросам, таким как состав судей, пожалуйста, свяжитесь с Техническим директором ЕКФ.</w:t>
      </w:r>
    </w:p>
    <w:p>
      <w:r>
        <w:t>Утверждено Советом ЕКФ:</w:t>
      </w:r>
    </w:p>
    <w:p>
      <w:r>
        <w:t xml:space="preserve">Президент Алэн Дюкарм </w:t>
      </w:r>
    </w:p>
    <w:p>
      <w:r>
        <w:t>Вице-президент Дитер Хаук</w:t>
      </w:r>
    </w:p>
    <w:p>
      <w:r>
        <w:t xml:space="preserve">Техничекий директор Жан-Пьер Рэк </w:t>
      </w:r>
    </w:p>
    <w:p>
      <w:r>
        <w:t xml:space="preserve">Казначей Жолт Вадади </w:t>
      </w:r>
    </w:p>
    <w:p>
      <w:r>
        <w:t>Генеральный секретарь Пекка Нурминен</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4"/>
        </w:rPr>
        <w:footnoteRef/>
      </w:r>
      <w:r>
        <w:t xml:space="preserve"> Одобрено Генеральной Ассамблеей ЕКФ в Новаре 23 мая 2012 года и изменено 2 мая 2015 года.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B6"/>
    <w:rsid w:val="00080FA8"/>
    <w:rsid w:val="00083505"/>
    <w:rsid w:val="000E2073"/>
    <w:rsid w:val="001760CD"/>
    <w:rsid w:val="00196A71"/>
    <w:rsid w:val="00262160"/>
    <w:rsid w:val="003921E4"/>
    <w:rsid w:val="005B62D3"/>
    <w:rsid w:val="00614671"/>
    <w:rsid w:val="0068161C"/>
    <w:rsid w:val="00881987"/>
    <w:rsid w:val="00894C75"/>
    <w:rsid w:val="008E512B"/>
    <w:rsid w:val="009440B0"/>
    <w:rsid w:val="00957277"/>
    <w:rsid w:val="009D64E9"/>
    <w:rsid w:val="009E3C8B"/>
    <w:rsid w:val="00A116B1"/>
    <w:rsid w:val="00A47F8E"/>
    <w:rsid w:val="00AA5F9C"/>
    <w:rsid w:val="00AB7BB6"/>
    <w:rsid w:val="00B07699"/>
    <w:rsid w:val="00B416E2"/>
    <w:rsid w:val="00C30BE5"/>
    <w:rsid w:val="00C83915"/>
    <w:rsid w:val="00CC56D4"/>
    <w:rsid w:val="00D13C40"/>
    <w:rsid w:val="00E1063D"/>
    <w:rsid w:val="00E77A4F"/>
    <w:rsid w:val="00FF3F1A"/>
    <w:rsid w:val="0C773437"/>
    <w:rsid w:val="49B16EC8"/>
    <w:rsid w:val="6C9A6997"/>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note text"/>
    <w:basedOn w:val="1"/>
    <w:link w:val="7"/>
    <w:unhideWhenUsed/>
    <w:uiPriority w:val="99"/>
    <w:pPr>
      <w:spacing w:after="0" w:line="240" w:lineRule="auto"/>
    </w:pPr>
    <w:rPr>
      <w:sz w:val="20"/>
      <w:szCs w:val="20"/>
    </w:rPr>
  </w:style>
  <w:style w:type="character" w:styleId="4">
    <w:name w:val="footnote reference"/>
    <w:basedOn w:val="3"/>
    <w:unhideWhenUsed/>
    <w:uiPriority w:val="99"/>
    <w:rPr>
      <w:vertAlign w:val="superscript"/>
    </w:r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Текст сноски Знак"/>
    <w:basedOn w:val="3"/>
    <w:link w:val="2"/>
    <w:semiHidden/>
    <w:qFormat/>
    <w:uiPriority w:val="99"/>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9302C4-9016-4D85-BF4D-F8ACD77703D3}">
  <ds:schemaRefs/>
</ds:datastoreItem>
</file>

<file path=docProps/app.xml><?xml version="1.0" encoding="utf-8"?>
<Properties xmlns="http://schemas.openxmlformats.org/officeDocument/2006/extended-properties" xmlns:vt="http://schemas.openxmlformats.org/officeDocument/2006/docPropsVTypes">
  <Template>Normal</Template>
  <Pages>1</Pages>
  <Words>1403</Words>
  <Characters>7998</Characters>
  <Lines>66</Lines>
  <Paragraphs>18</Paragraphs>
  <ScaleCrop>false</ScaleCrop>
  <LinksUpToDate>false</LinksUpToDate>
  <CharactersWithSpaces>9383</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2017-01-29T06:04:00Z</dcterms:created>
  <dc:creator>Владимир Синяков</dc:creator>
  <cp:lastModifiedBy>kusurgashev.a</cp:lastModifiedBy>
  <dcterms:modified xsi:type="dcterms:W3CDTF">2017-03-13T01:31:03Z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